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F5" w:rsidRPr="006C53F5" w:rsidRDefault="006C53F5" w:rsidP="006C53F5">
      <w:pPr>
        <w:shd w:val="clear" w:color="auto" w:fill="FFFFFF"/>
        <w:spacing w:before="68" w:after="68" w:line="240" w:lineRule="auto"/>
        <w:ind w:left="205" w:right="205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</w:pPr>
      <w:bookmarkStart w:id="0" w:name="n740"/>
      <w:bookmarkEnd w:id="0"/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ПОВІДОМЛЕННЯ</w:t>
      </w:r>
      <w:r w:rsidRPr="006C53F5"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  <w:br/>
      </w:r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999"/>
        <w:gridCol w:w="5656"/>
      </w:tblGrid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1"/>
            <w:bookmarkEnd w:id="1"/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 xml:space="preserve">ПРИВАТНЕ АКЦІОНЕРНЕ ТОВАРИСТВО "СІЛЬСЬКОГОСПОДАРСЬКЕ ПІДПРИЄМСТВО "ДМИТРІВКА", </w:t>
            </w:r>
            <w:proofErr w:type="spellStart"/>
            <w:r>
              <w:t>ПРАТ</w:t>
            </w:r>
            <w:proofErr w:type="spellEnd"/>
            <w:r>
              <w:t xml:space="preserve"> "СГП "ДМИТРІВКА"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>20592639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53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27.03.2026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10093A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93A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6" style="position:absolute;margin-left:1.15pt;margin-top:5.6pt;width:11.25pt;height:9.2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B1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Несвоєчасне розкриття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2" name="Рисунок 2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Можливе несвоєчасне розкриття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10093A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93A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7" style="position:absolute;margin-left:1.15pt;margin-top:5.7pt;width:11.25pt;height:9.2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3" name="Рисунок 3" descr="https://zakon.rada.gov.ua/laws/file/imgs/109/p529494n741-2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109/p529494n741-2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4" name="Рисунок 4" descr="https://zakon.rada.gov.ua/laws/file/imgs/109/p529494n741-3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10093A" w:rsidP="00355D4C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93A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8" style="position:absolute;margin-left:1.15pt;margin-top:19.7pt;width:11.25pt;height:9.25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5" name="Рисунок 5" descr="https://zakon.rada.gov.ua/laws/file/imgs/109/p529494n741-4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1-4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6" name="Рисунок 6" descr="https://zakon.rada.gov.ua/laws/file/imgs/109/p529494n741-5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Річна інформація за </w:t>
            </w:r>
            <w:r w:rsidR="00355D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2018/2019/2020/2021/2022/2023/2024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5D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рік.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7" name="Рисунок 7" descr="https://zakon.rada.gov.ua/laws/file/imgs/109/p529494n741-6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8" name="Рисунок 8" descr="https://zakon.rada.gov.ua/laws/file/imgs/109/p529494n741-7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1-7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інформація:(вказати тип інформації відповідно до </w:t>
            </w:r>
            <w:hyperlink r:id="rId18" w:anchor="n182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35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9" name="Рисунок 9" descr="https://zakon.rada.gov.ua/laws/file/imgs/109/p529494n741-8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21" w:anchor="n306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54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0" name="Рисунок 10" descr="https://zakon.rada.gov.ua/laws/file/imgs/109/p529494n741-9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24" w:anchor="n32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1" name="Рисунок 11" descr="https://zakon.rada.gov.ua/laws/file/imgs/109/p529494n741-10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 </w:t>
            </w:r>
            <w:hyperlink r:id="rId27" w:anchor="n58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розділу VII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30 квітня відповідного року 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5356" w:rsidRDefault="00435356" w:rsidP="00435356">
            <w:pPr>
              <w:pStyle w:val="a6"/>
            </w:pPr>
            <w:r>
              <w:t>Несвоєчасне розкриття регульованої інформації було зумовлене сукупністю організаційних та об’єктивних факторів, зокрема змінами у керівництві товариства та відсутністю належно налагодженого внутрішнього контролю за своєчасністю розкриття інформації у попередні періоди.</w:t>
            </w:r>
          </w:p>
          <w:p w:rsidR="00435356" w:rsidRDefault="00435356" w:rsidP="00435356">
            <w:pPr>
              <w:pStyle w:val="a6"/>
            </w:pPr>
            <w:r>
              <w:t>Додатково зазначаємо, що у вказаний період товариство фактично не здійснювало активної господарської діяльності, у зв’язку з чим відсутність розкриття інформації не призвела до введення інвесторів в оману чи завдання шкоди їх інтересам.</w:t>
            </w:r>
          </w:p>
          <w:p w:rsidR="00435356" w:rsidRDefault="00435356" w:rsidP="00435356">
            <w:pPr>
              <w:pStyle w:val="a6"/>
            </w:pPr>
            <w:r>
              <w:t>Порушення не мало умисного характеру та стало наслідком неналежної організації внутрішніх процесів.</w:t>
            </w:r>
          </w:p>
          <w:p w:rsidR="00435356" w:rsidRDefault="00435356" w:rsidP="00435356">
            <w:pPr>
              <w:pStyle w:val="a6"/>
            </w:pPr>
            <w:r>
              <w:t xml:space="preserve">Станом на сьогодні товариством вжито всіх необхідних заходів для усунення порушення, зокрема </w:t>
            </w:r>
            <w:r>
              <w:lastRenderedPageBreak/>
              <w:t>забезпечено підготовку та подання регульованої інформації, призначено відповідальних осіб та впроваджено контроль за дотриманням вимог законодавства.</w:t>
            </w:r>
          </w:p>
          <w:p w:rsidR="00435356" w:rsidRDefault="00435356" w:rsidP="00435356">
            <w:pPr>
              <w:pStyle w:val="a6"/>
            </w:pPr>
            <w:r>
              <w:t>Також враховуючи вплив воєнного стану та пов’язані з ним обмеження у здійсненні діяльності, просимо врахувати зазначені обставини як пом’якшуючі при розгляді питання щодо застосування заходів впливу.</w:t>
            </w:r>
          </w:p>
          <w:p w:rsidR="006C53F5" w:rsidRPr="006C53F5" w:rsidRDefault="006C53F5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780827" w:rsidRDefault="00780827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08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10.04.2026</w:t>
            </w:r>
          </w:p>
        </w:tc>
      </w:tr>
    </w:tbl>
    <w:p w:rsidR="00903CDF" w:rsidRDefault="00903CDF"/>
    <w:sectPr w:rsidR="00903CDF" w:rsidSect="0090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C53F5"/>
    <w:rsid w:val="0010093A"/>
    <w:rsid w:val="00355D4C"/>
    <w:rsid w:val="00435356"/>
    <w:rsid w:val="006C53F5"/>
    <w:rsid w:val="00780827"/>
    <w:rsid w:val="00903CDF"/>
    <w:rsid w:val="00CB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C53F5"/>
    <w:rPr>
      <w:color w:val="0000FF"/>
      <w:u w:val="single"/>
    </w:rPr>
  </w:style>
  <w:style w:type="paragraph" w:customStyle="1" w:styleId="rvps7">
    <w:name w:val="rvps7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C53F5"/>
  </w:style>
  <w:style w:type="paragraph" w:styleId="a4">
    <w:name w:val="Balloon Text"/>
    <w:basedOn w:val="a"/>
    <w:link w:val="a5"/>
    <w:uiPriority w:val="99"/>
    <w:semiHidden/>
    <w:unhideWhenUsed/>
    <w:rsid w:val="006C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3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91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3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show/z1307-23" TargetMode="External"/><Relationship Id="rId26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1307-23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5.emf" TargetMode="External"/><Relationship Id="rId17" Type="http://schemas.openxmlformats.org/officeDocument/2006/relationships/image" Target="media/image7.gif"/><Relationship Id="rId25" Type="http://schemas.openxmlformats.org/officeDocument/2006/relationships/hyperlink" Target="https://zakon.rada.gov.ua/laws/file/imgs/109/p529494n741-10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109/p529494n741-7.emf" TargetMode="External"/><Relationship Id="rId20" Type="http://schemas.openxmlformats.org/officeDocument/2006/relationships/image" Target="media/image8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2.emf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zakon.rada.gov.ua/laws/show/z1307-23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9.gif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file/imgs/109/p529494n741-4.emf" TargetMode="External"/><Relationship Id="rId19" Type="http://schemas.openxmlformats.org/officeDocument/2006/relationships/hyperlink" Target="https://zakon.rada.gov.ua/laws/file/imgs/109/p529494n741-8.emf" TargetMode="External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6.emf" TargetMode="External"/><Relationship Id="rId22" Type="http://schemas.openxmlformats.org/officeDocument/2006/relationships/hyperlink" Target="https://zakon.rada.gov.ua/laws/file/imgs/109/p529494n741-9.emf" TargetMode="External"/><Relationship Id="rId27" Type="http://schemas.openxmlformats.org/officeDocument/2006/relationships/hyperlink" Target="https://zakon.rada.gov.ua/laws/show/z1307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2026-03-27T13:46:00Z</dcterms:created>
  <dcterms:modified xsi:type="dcterms:W3CDTF">2026-04-02T12:49:00Z</dcterms:modified>
</cp:coreProperties>
</file>